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Ilusões ópticas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ab/>
        <w:t xml:space="preserve">As ilusões ópticas são ilusões visuais que “enganam” o nosso sistema visual humano. Deste modo, o objeto observado é observado de maneira diferente tendo em conta o seu observador e as condições em que o objeto e este se encontram, é de ressaltar que mesmo tendo estímulos visuais iguais a percepção de um objeto pode se dar de maneiras diferentes para cada indivíduo.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ab/>
        <w:t xml:space="preserve">Os fatores que podem afetar esta perceção estão bastante relacionados com o tempo e atenção que cada indivíduo dá à imagem, sendo estes, fatores externos e internos. Os fatores externos são os do objeto e estes estão divididos em: intensidade (barulho, brilho…), contraste (diferença com o ambiente), incongruência (“bizarrice” do objeto), movimentos (velocidade a que o objeto se move…). Enquanto que os fatores internos estão mais relacionados com o observador, estes são: a motivação que temos para observar o objeto e a experiência anterior, pois é mais fácil entender um objeto e imagem que já vimos.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ab/>
        <w:t xml:space="preserve">Curiosamente, os primeiros colonizadores relataram, que os índios não os viram chegar de longe ao continente, isto está relacionado com o facto dos navios não fazerem parte da realidade das pessoas deste povo e então foram ignoradas pelo cérebro dos observadores, como se fossem apenas uma parte do horizonte.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ab/>
        <w:t xml:space="preserve">Podemos também concluir que, a primeira observação pode mudar e, tal como uma tese científica, a observação pode ser refutada e reposta.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4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3733800" cy="4762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76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